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center"/>
        <w:outlineLvl w:val="1"/>
        <w:rPr/>
      </w:pPr>
      <w:r>
        <w:rPr/>
        <w:t>VII. Порядок учета коммунальных услуг с использованием</w:t>
      </w:r>
    </w:p>
    <w:p>
      <w:pPr>
        <w:pStyle w:val="ConsPlusNormal"/>
        <w:jc w:val="center"/>
        <w:rPr/>
      </w:pPr>
      <w:r>
        <w:rPr/>
        <w:t>приборов учета, основания и порядок проведения проверок</w:t>
      </w:r>
    </w:p>
    <w:p>
      <w:pPr>
        <w:pStyle w:val="ConsPlusNormal"/>
        <w:jc w:val="center"/>
        <w:rPr/>
      </w:pPr>
      <w:r>
        <w:rPr/>
        <w:t>состояния приборов учета и правильности снятия их показаний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80. Учет объема (количества) коммунальных услуг, предоставленных потребителю в жилом или в нежилом помещении, осуществляется с использованием индивидуальных, общих (квартирных), комнатных приборов учета.</w:t>
      </w:r>
    </w:p>
    <w:p>
      <w:pPr>
        <w:pStyle w:val="ConsPlusNormal"/>
        <w:ind w:firstLine="540"/>
        <w:jc w:val="both"/>
        <w:rPr/>
      </w:pPr>
      <w:r>
        <w:rPr/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 Информация о соответствии прибора учета утвержденному типу, сведения о дате первичной поверки прибора учета и об установленном для прибора учета межповерочном интервале, а также требования к условиям эксплуатации прибора учета должны быть указаны в сопроводительных документах к прибору учета.</w:t>
      </w:r>
    </w:p>
    <w:p>
      <w:pPr>
        <w:pStyle w:val="ConsPlusNormal"/>
        <w:ind w:firstLine="540"/>
        <w:jc w:val="both"/>
        <w:rPr/>
      </w:pPr>
      <w:bookmarkStart w:id="0" w:name="Par539"/>
      <w:bookmarkEnd w:id="0"/>
      <w:r>
        <w:rPr/>
        <w:t xml:space="preserve">81. </w:t>
      </w:r>
      <w:r>
        <w:rPr>
          <w:b/>
          <w:i/>
        </w:rPr>
        <w:t>Оснащение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или нежилого помещения</w:t>
      </w:r>
      <w:r>
        <w:rPr/>
        <w:t>.</w:t>
      </w:r>
    </w:p>
    <w:p>
      <w:pPr>
        <w:pStyle w:val="ConsPlusNormal"/>
        <w:ind w:firstLine="540"/>
        <w:jc w:val="both"/>
        <w:rPr/>
      </w:pPr>
      <w:r>
        <w:rPr/>
        <w:t>Ввод установленного прибора учета в эксплуатацию, то есть документальное оформление прибора учета в качестве прибора учета, по показаниям которого осуществляется расчет размера платы за коммунальные услуги, осуществляется исполнителем на основании заявки собственника жилого или нежилого помещения, поданной исполнителю.</w:t>
      </w:r>
    </w:p>
    <w:p>
      <w:pPr>
        <w:pStyle w:val="ConsPlusNormal"/>
        <w:ind w:firstLine="540"/>
        <w:jc w:val="both"/>
        <w:rPr/>
      </w:pPr>
      <w:r>
        <w:rPr/>
        <w:t>В заявке указывается следующая информация: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сведения о потребителе (для физического лица - фамилия, имя, отчество, реквизиты документа, удостоверяющего личность, контактный телефон, для юридического лица - наименование (фирменное наименование) и место государственной регистрации, контактный телефон);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предлагаемая дата и время ввода установленного прибора учета в эксплуатацию;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тип и заводской номер установленного прибора учета, место его установки;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сведения об организации, осуществившей монтаж прибора учета;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показания прибора учета на момент его установки;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дата следующей поверки.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</w:r>
    </w:p>
    <w:p>
      <w:pPr>
        <w:pStyle w:val="ConsPlusNormal"/>
        <w:jc w:val="both"/>
        <w:rPr/>
      </w:pPr>
      <w:r>
        <w:rPr/>
        <w:t>(абзац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>
          <w:b/>
          <w:i/>
        </w:rPr>
        <w:t>Установленный прибор учета должен быть введен в эксплуатацию не позднее месяца, следующего за датой его установки</w:t>
      </w:r>
      <w:r>
        <w:rPr/>
        <w:t>. При этом исполнитель обязан начиная со дня, следующего за днем ввода прибора учета в эксплуатацию, осуществлять расчет размера платы за соответствующий вид коммунальной услуги исходя из показаний введенного в эксплуатацию прибора учета.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81(1).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учета.</w:t>
      </w:r>
    </w:p>
    <w:p>
      <w:pPr>
        <w:pStyle w:val="ConsPlusNormal"/>
        <w:ind w:firstLine="540"/>
        <w:jc w:val="both"/>
        <w:rPr/>
      </w:pPr>
      <w:r>
        <w:rPr/>
        <w:t>При этом предложение о новых дате и времени осуществления работ направляется потребителю не позднее чем через 3 рабочих дня со дня получения заявки, а предложенная новая дата осуществления работ не может быть позднее 15 рабочих дней со дня получения заявки.</w:t>
      </w:r>
    </w:p>
    <w:p>
      <w:pPr>
        <w:pStyle w:val="ConsPlusNormal"/>
        <w:jc w:val="both"/>
        <w:rPr/>
      </w:pPr>
      <w:r>
        <w:rPr/>
        <w:t>(п. 81(1)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 xml:space="preserve">81(2). В случае </w:t>
      </w:r>
      <w:r>
        <w:rPr>
          <w:b/>
          <w:i/>
        </w:rPr>
        <w:t xml:space="preserve">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(или) предложенные исполнителем новые дата и время были позднее сроков, установленных </w:t>
      </w:r>
      <w:hyperlink w:anchor="Par560" w:tgtFrame="Ссылка на текущий документ">
        <w:r>
          <w:rPr>
            <w:b/>
            <w:i/>
            <w:color w:val="0000FF"/>
          </w:rPr>
          <w:t>пунктом 81(1)</w:t>
        </w:r>
      </w:hyperlink>
      <w:r>
        <w:rPr>
          <w:b/>
          <w:i/>
        </w:rPr>
        <w:t xml:space="preserve"> настоящих Правил, прибор учета считается введенным в эксплуатацию с даты направления в адрес исполнителя заявки</w:t>
      </w:r>
      <w:r>
        <w:rPr/>
        <w:t xml:space="preserve">, отвечающей требованиям, установленным </w:t>
      </w:r>
      <w:hyperlink w:anchor="Par539" w:tgtFrame="Ссылка на текущий документ">
        <w:r>
          <w:rPr>
            <w:color w:val="0000FF"/>
          </w:rPr>
          <w:t>пунктом 81</w:t>
        </w:r>
      </w:hyperlink>
      <w:r>
        <w:rPr/>
        <w:t xml:space="preserve"> настоящих Правил, и с этой даты его показания учитываются при определении объема потребления коммунальных услуг.</w:t>
      </w:r>
    </w:p>
    <w:p>
      <w:pPr>
        <w:pStyle w:val="ConsPlusNormal"/>
        <w:jc w:val="both"/>
        <w:rPr/>
      </w:pPr>
      <w:r>
        <w:rPr/>
        <w:t>(п. 81(2)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 xml:space="preserve">81(3).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эксплуатацию, предусмотренного </w:t>
      </w:r>
      <w:hyperlink w:anchor="Par575" w:tgtFrame="Ссылка на текущий документ">
        <w:r>
          <w:rPr>
            <w:color w:val="0000FF"/>
          </w:rPr>
          <w:t>пунктом 81(6)</w:t>
        </w:r>
      </w:hyperlink>
      <w:r>
        <w:rPr/>
        <w:t xml:space="preserve"> настоящих Правил.</w:t>
      </w:r>
    </w:p>
    <w:p>
      <w:pPr>
        <w:pStyle w:val="ConsPlusNormal"/>
        <w:jc w:val="both"/>
        <w:rPr/>
      </w:pPr>
      <w:r>
        <w:rPr/>
        <w:t>(п. 81(3) введен Постановлением Правительства РФ от 19.09.2013 N 824)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bookmarkStart w:id="1" w:name="Par567"/>
      <w:bookmarkEnd w:id="1"/>
      <w:r>
        <w:rPr/>
        <w:t xml:space="preserve">81(4). </w:t>
      </w:r>
      <w:r>
        <w:rPr>
          <w:b/>
          <w:i/>
        </w:rPr>
        <w:t>В ходе ввода прибора учета в эксплуатацию проверке подлежат: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а) соответствие заводского номера на приборе учета номеру, указанному в его паспорте;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б) соответствие прибора учета технической документации изготовителя прибора, в том числе комплектации и схеме монтажа прибора учета;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в) наличие знаков последней поверки (за исключением новых приборов учета);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г) работоспособность прибора учета.</w:t>
      </w:r>
    </w:p>
    <w:p>
      <w:pPr>
        <w:pStyle w:val="ConsPlusNormal"/>
        <w:jc w:val="both"/>
        <w:rPr/>
      </w:pPr>
      <w:r>
        <w:rPr/>
        <w:t>(п. 81(4) введен Постановлением Правительства РФ от 19.09.2013 N 824)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/>
        <w:t xml:space="preserve">81(5). </w:t>
      </w:r>
      <w:r>
        <w:rPr>
          <w:b/>
          <w:i/>
        </w:rPr>
        <w:t xml:space="preserve">Несоответствие прибора учета положениям, предусмотренным </w:t>
      </w:r>
      <w:hyperlink w:anchor="Par567" w:tgtFrame="Ссылка на текущий документ">
        <w:r>
          <w:rPr>
            <w:b/>
            <w:i/>
            <w:color w:val="0000FF"/>
          </w:rPr>
          <w:t>пунктом 81(4)</w:t>
        </w:r>
      </w:hyperlink>
      <w:r>
        <w:rPr>
          <w:b/>
          <w:i/>
        </w:rPr>
        <w:t xml:space="preserve"> настоящих Правил, выявленное исполнителем в ходе проверки, является основанием для отказа ввода прибора учета в эксплуатацию.</w:t>
      </w:r>
    </w:p>
    <w:p>
      <w:pPr>
        <w:pStyle w:val="ConsPlusNormal"/>
        <w:jc w:val="both"/>
        <w:rPr/>
      </w:pPr>
      <w:r>
        <w:rPr/>
        <w:t>(п. 81(5)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bookmarkStart w:id="2" w:name="Par575"/>
      <w:bookmarkEnd w:id="2"/>
      <w:r>
        <w:rPr/>
        <w:t xml:space="preserve">81(6). По результатам проверки прибора учета исполнитель оформляет </w:t>
      </w:r>
      <w:r>
        <w:rPr>
          <w:b/>
          <w:i/>
        </w:rPr>
        <w:t>акт ввода прибора учета в эксплуатацию</w:t>
      </w:r>
      <w:r>
        <w:rPr/>
        <w:t>, в котором указываются:</w:t>
      </w:r>
    </w:p>
    <w:p>
      <w:pPr>
        <w:pStyle w:val="ConsPlusNormal"/>
        <w:ind w:firstLine="540"/>
        <w:jc w:val="both"/>
        <w:rPr/>
      </w:pPr>
      <w:r>
        <w:rPr/>
        <w:t>а) дата, время и адрес ввода прибора учета в эксплуатацию;</w:t>
      </w:r>
    </w:p>
    <w:p>
      <w:pPr>
        <w:pStyle w:val="ConsPlusNormal"/>
        <w:ind w:firstLine="540"/>
        <w:jc w:val="both"/>
        <w:rPr/>
      </w:pPr>
      <w:r>
        <w:rPr/>
        <w:t>б) фамилии, имена, отчества, должности и контактные данные лиц, принимавших участие в процедуре ввода прибора учета в эксплуатацию;</w:t>
      </w:r>
    </w:p>
    <w:p>
      <w:pPr>
        <w:pStyle w:val="ConsPlusNormal"/>
        <w:ind w:firstLine="540"/>
        <w:jc w:val="both"/>
        <w:rPr/>
      </w:pPr>
      <w:r>
        <w:rPr/>
        <w:t>в) тип и заводской номер установленного прибора учета, а также место его установки;</w:t>
      </w:r>
    </w:p>
    <w:p>
      <w:pPr>
        <w:pStyle w:val="ConsPlusNormal"/>
        <w:ind w:firstLine="540"/>
        <w:jc w:val="both"/>
        <w:rPr/>
      </w:pPr>
      <w:r>
        <w:rPr/>
        <w:t>г) решение о вводе или об отказе от ввода прибора учета в эксплуатацию с указанием оснований такого отказа;</w:t>
      </w:r>
    </w:p>
    <w:p>
      <w:pPr>
        <w:pStyle w:val="ConsPlusNormal"/>
        <w:ind w:firstLine="540"/>
        <w:jc w:val="both"/>
        <w:rPr/>
      </w:pPr>
      <w:r>
        <w:rPr/>
        <w:t>д)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учета, где установлены контрольные одноразовые номерные пломбы (контрольные пломбы);</w:t>
      </w:r>
    </w:p>
    <w:p>
      <w:pPr>
        <w:pStyle w:val="ConsPlusNormal"/>
        <w:ind w:firstLine="540"/>
        <w:jc w:val="both"/>
        <w:rPr/>
      </w:pPr>
      <w:r>
        <w:rPr/>
        <w:t>е) дата следующей поверки.</w:t>
      </w:r>
    </w:p>
    <w:p>
      <w:pPr>
        <w:pStyle w:val="ConsPlusNormal"/>
        <w:jc w:val="both"/>
        <w:rPr/>
      </w:pPr>
      <w:r>
        <w:rPr/>
        <w:t>(п. 81(6)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81(7). Акт ввода прибора учета в эксплуатацию составляется в 2 экземплярах и подписывается потребителем и представителями исполнителя, принимавшими участие в процедуре ввода прибора учета в эксплуатацию.</w:t>
      </w:r>
    </w:p>
    <w:p>
      <w:pPr>
        <w:pStyle w:val="ConsPlusNormal"/>
        <w:jc w:val="both"/>
        <w:rPr/>
      </w:pPr>
      <w:r>
        <w:rPr/>
        <w:t>(п. 81(7)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81(8). Перед подписанием акта ввода прибора учета в эксплуатацию (при отсутствии оснований для отказа ввода прибора учета в эксплуатацию) представитель исполнителя осуществляет установку контрольных пломб на приборе учета.</w:t>
      </w:r>
    </w:p>
    <w:p>
      <w:pPr>
        <w:pStyle w:val="ConsPlusNormal"/>
        <w:jc w:val="both"/>
        <w:rPr/>
      </w:pPr>
      <w:r>
        <w:rPr/>
        <w:t>(п. 81(8)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bookmarkStart w:id="3" w:name="Par587"/>
      <w:bookmarkEnd w:id="3"/>
      <w:r>
        <w:rPr/>
        <w:t xml:space="preserve">81(9). </w:t>
      </w:r>
      <w:r>
        <w:rPr>
          <w:b/>
          <w:i/>
        </w:rPr>
        <w:t>Ввод приборов учета в эксплуатацию в случаях, предусмотренных настоящими Правилами, осуществляется исполнителем без взимания платы.</w:t>
      </w:r>
    </w:p>
    <w:p>
      <w:pPr>
        <w:pStyle w:val="ConsPlusNormal"/>
        <w:jc w:val="both"/>
        <w:rPr/>
      </w:pPr>
      <w:r>
        <w:rPr/>
        <w:t>(п. 81(9)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>81(10). Эксплуатация, ремонт и замена приборов учета осуществляются в соответствии с технической документацией. Поверка приборов учета осуществляется в соответствии с положениями законодательства Российской Федерации об обеспечении единства измерений.</w:t>
      </w:r>
    </w:p>
    <w:p>
      <w:pPr>
        <w:pStyle w:val="ConsPlusNormal"/>
        <w:jc w:val="both"/>
        <w:rPr/>
      </w:pPr>
      <w:r>
        <w:rPr/>
        <w:t>(п. 81(10) введен Постановлением Правительства РФ от 19.09.2013 N 824)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/>
        <w:t xml:space="preserve">81(11). </w:t>
      </w:r>
      <w:r>
        <w:rPr>
          <w:b/>
          <w:i/>
        </w:rPr>
        <w:t>Прибор учета должен быть защищен от несанкционированного вмешательства в его работу.</w:t>
      </w:r>
    </w:p>
    <w:p>
      <w:pPr>
        <w:pStyle w:val="ConsPlusNormal"/>
        <w:jc w:val="both"/>
        <w:rPr/>
      </w:pPr>
      <w:r>
        <w:rPr/>
        <w:t>(п. 81(11) введен Постановлением Правительства РФ от 19.09.2013 N 824)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/>
        <w:t xml:space="preserve">81(12). </w:t>
      </w:r>
      <w:r>
        <w:rPr>
          <w:b/>
          <w:i/>
        </w:rPr>
        <w:t>Прибор учета считается вышедшим из строя в случаях: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а) неотображения приборами учета результатов измерений;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б) нарушения контрольных пломб и (или) знаков поверки;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в) механического повреждения прибора учета;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г) превышения допустимой погрешности показаний прибора учета;</w:t>
      </w:r>
    </w:p>
    <w:p>
      <w:pPr>
        <w:pStyle w:val="ConsPlusNormal"/>
        <w:ind w:firstLine="540"/>
        <w:jc w:val="both"/>
        <w:rPr/>
      </w:pPr>
      <w:r>
        <w:rPr>
          <w:b/>
          <w:i/>
        </w:rPr>
        <w:t>д) истечения межповерочного интервала поверки приборов учета.</w:t>
      </w:r>
    </w:p>
    <w:p>
      <w:pPr>
        <w:pStyle w:val="ConsPlusNormal"/>
        <w:jc w:val="both"/>
        <w:rPr/>
      </w:pPr>
      <w:r>
        <w:rPr/>
        <w:t>(п. 81(12)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 xml:space="preserve">81(13). </w:t>
      </w:r>
      <w:r>
        <w:rPr>
          <w:b/>
          <w:i/>
        </w:rPr>
        <w:t>Потребитель в случае выхода прибора учета из строя (неисправности) обязан незамедлительно известить об этом исполнителя, сообщить показания прибора учета на момент его выхода из строя (возникновения неисправности) и обеспечить устранение выявленной неисправности (осуществление ремонта, замены) в течение 30 дней со дня выхода прибора учета из строя</w:t>
      </w:r>
      <w:r>
        <w:rPr/>
        <w:t xml:space="preserve"> (возникновения неисправности). В случае если требуется проведение демонтажа прибора учета, исполнитель извещается о проведении указанных работ не менее чем за 2 рабочих дня. Демонтаж прибора учета, а также его последующий монтаж выполняются в присутствии представителей исполнителя, за исключением случаев, когда такие представители не явились к сроку демонтажа прибора учета, указанному в извещении.</w:t>
      </w:r>
    </w:p>
    <w:p>
      <w:pPr>
        <w:pStyle w:val="ConsPlusNormal"/>
        <w:jc w:val="both"/>
        <w:rPr/>
      </w:pPr>
      <w:r>
        <w:rPr/>
        <w:t>(п. 81(13) введен Постановлением Правительства РФ от 19.09.2013 N 824)</w:t>
      </w:r>
    </w:p>
    <w:p>
      <w:pPr>
        <w:pStyle w:val="ConsPlusNormal"/>
        <w:ind w:firstLine="540"/>
        <w:jc w:val="both"/>
        <w:rPr/>
      </w:pPr>
      <w:r>
        <w:rPr/>
        <w:t xml:space="preserve">81(14). </w:t>
      </w:r>
      <w:r>
        <w:rPr>
          <w:b/>
          <w:i/>
        </w:rPr>
        <w:t xml:space="preserve">Ввод в эксплуатацию прибора учета после его ремонта, замены и поверки осуществляется в порядке, предусмотренном </w:t>
      </w:r>
      <w:hyperlink w:anchor="Par539" w:tgtFrame="Ссылка на текущий документ">
        <w:r>
          <w:rPr>
            <w:b/>
            <w:i/>
            <w:color w:val="0000FF"/>
          </w:rPr>
          <w:t>пунктами 81</w:t>
        </w:r>
      </w:hyperlink>
      <w:r>
        <w:rPr>
          <w:b/>
          <w:i/>
        </w:rPr>
        <w:t xml:space="preserve"> - </w:t>
      </w:r>
      <w:hyperlink w:anchor="Par587" w:tgtFrame="Ссылка на текущий документ">
        <w:r>
          <w:rPr>
            <w:b/>
            <w:i/>
            <w:color w:val="0000FF"/>
          </w:rPr>
          <w:t>81(9)</w:t>
        </w:r>
      </w:hyperlink>
      <w:r>
        <w:rPr>
          <w:b/>
          <w:i/>
        </w:rPr>
        <w:t xml:space="preserve"> настоящих Правил. Установленный прибор учета, в том числе после поверки, опломбируется исполнителем без взимания платы с потребителя</w:t>
      </w:r>
      <w:r>
        <w:rPr/>
        <w:t>, за исключением случаев,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лицом.</w:t>
      </w:r>
    </w:p>
    <w:p>
      <w:pPr>
        <w:pStyle w:val="ConsPlusNormal"/>
        <w:jc w:val="both"/>
        <w:rPr/>
      </w:pPr>
      <w:r>
        <w:rPr/>
        <w:t>(п. 81(14) введен Постановлением Правительства РФ от 19</w:t>
      </w:r>
      <w:bookmarkStart w:id="4" w:name="_GoBack"/>
      <w:bookmarkEnd w:id="4"/>
      <w:r>
        <w:rPr/>
        <w:t>.09.2013 N 824)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bookmarkStart w:id="5" w:name="Par604"/>
      <w:bookmarkEnd w:id="5"/>
      <w:r>
        <w:rPr/>
        <w:t xml:space="preserve">82. </w:t>
      </w:r>
      <w:r>
        <w:rPr>
          <w:b/>
          <w:i/>
        </w:rPr>
        <w:t>Исполнитель обязан:</w:t>
      </w:r>
    </w:p>
    <w:p>
      <w:pPr>
        <w:pStyle w:val="ConsPlusNormal"/>
        <w:ind w:firstLine="540"/>
        <w:jc w:val="both"/>
        <w:rPr>
          <w:b/>
          <w:b/>
          <w:i/>
          <w:i/>
        </w:rPr>
      </w:pPr>
      <w:r>
        <w:rPr>
          <w:b/>
          <w:i/>
        </w:rPr>
        <w:t>а) проводить проверки состояния установленных и введенных в эксплуатацию индивидуальных, общих (квартирных), комнатных приборов учета и распределителей, факта их наличия или отсутствия;</w:t>
      </w:r>
    </w:p>
    <w:p>
      <w:pPr>
        <w:pStyle w:val="ConsPlusNormal"/>
        <w:ind w:firstLine="540"/>
        <w:jc w:val="both"/>
        <w:rPr/>
      </w:pPr>
      <w:r>
        <w:rPr>
          <w:b/>
          <w:i/>
        </w:rPr>
        <w:t xml:space="preserve">б) проводить проверки достоверности представленных потребителями сведений о показаниях индивидуальных, общих (квартирных), комнатных приборов учета и распределителей путем сверки их с показаниями соответствующего прибора учета на момент проверки </w:t>
      </w:r>
      <w:r>
        <w:rPr/>
        <w:t>(в случаях, когда снятие показаний таких приборов учета и распределителей осуществляют потребители).</w:t>
      </w:r>
    </w:p>
    <w:p>
      <w:pPr>
        <w:pStyle w:val="ConsPlusNormal"/>
        <w:ind w:firstLine="540"/>
        <w:jc w:val="both"/>
        <w:rPr/>
      </w:pPr>
      <w:r>
        <w:rPr/>
        <w:t xml:space="preserve">83. </w:t>
      </w:r>
      <w:r>
        <w:rPr>
          <w:b/>
          <w:i/>
        </w:rPr>
        <w:t xml:space="preserve">Проверки, указанные в </w:t>
      </w:r>
      <w:hyperlink w:anchor="Par604" w:tgtFrame="Ссылка на текущий документ">
        <w:r>
          <w:rPr>
            <w:b/>
            <w:i/>
            <w:color w:val="0000FF"/>
          </w:rPr>
          <w:t>пункте 82</w:t>
        </w:r>
      </w:hyperlink>
      <w:r>
        <w:rPr>
          <w:b/>
          <w:i/>
        </w:rPr>
        <w:t xml:space="preserve"> настоящих Правил, должны проводиться исполнителем не реже 1 раза в год, а если проверяемые приборы учета расположены в жилом помещении потребителя, то не чаще 1 раза в 6 месяцев</w:t>
      </w:r>
      <w:r>
        <w:rPr/>
        <w:t>.</w:t>
      </w:r>
    </w:p>
    <w:p>
      <w:pPr>
        <w:pStyle w:val="ConsPlusNormal"/>
        <w:jc w:val="both"/>
        <w:rPr/>
      </w:pPr>
      <w:r>
        <w:rPr/>
        <w:t>(в ред. Постановления Правительства РФ от 16.04.2013 N 344)</w:t>
      </w:r>
    </w:p>
    <w:p>
      <w:pPr>
        <w:pStyle w:val="ConsPlusNormal"/>
        <w:ind w:firstLine="540"/>
        <w:jc w:val="both"/>
        <w:rPr/>
      </w:pPr>
      <w:r>
        <w:rPr/>
        <w:t xml:space="preserve">84. При непредставлении потребителем исполнителю показаний индивидуального или общего (квартирного) прибора учета в течение 6 месяцев подряд исполнитель не позднее 15 дней со дня истечения указанного 6-месячного срока, иного срока, установленного договором, содержащим положения о предоставлении коммунальных услуг, и (или) решениями общего собрания собственников помещений в многоквартирном доме, обязан провести указанную в </w:t>
      </w:r>
      <w:hyperlink w:anchor="Par604" w:tgtFrame="Ссылка на текущий документ">
        <w:r>
          <w:rPr>
            <w:color w:val="0000FF"/>
          </w:rPr>
          <w:t>пункте 82</w:t>
        </w:r>
      </w:hyperlink>
      <w:r>
        <w:rPr/>
        <w:t xml:space="preserve"> настоящих Правил проверку и снять показания прибора учета.</w:t>
      </w:r>
    </w:p>
    <w:p>
      <w:pPr>
        <w:pStyle w:val="ConsPlusNormal"/>
        <w:jc w:val="both"/>
        <w:rPr/>
      </w:pPr>
      <w:r>
        <w:rPr/>
        <w:t>(п. 84 в ред. Постановления Правительства РФ от 16.04.2013 N 344)</w:t>
      </w:r>
    </w:p>
    <w:p>
      <w:pPr>
        <w:pStyle w:val="ConsPlusNormal"/>
        <w:ind w:firstLine="540"/>
        <w:jc w:val="both"/>
        <w:rPr/>
      </w:pPr>
      <w:bookmarkStart w:id="6" w:name="Par611"/>
      <w:bookmarkEnd w:id="6"/>
      <w:r>
        <w:rPr/>
        <w:t xml:space="preserve">85. Проверка, указанная в </w:t>
      </w:r>
      <w:hyperlink w:anchor="Par604" w:tgtFrame="Ссылка на текущий документ">
        <w:r>
          <w:rPr>
            <w:color w:val="0000FF"/>
          </w:rPr>
          <w:t>пункте 82</w:t>
        </w:r>
      </w:hyperlink>
      <w:r>
        <w:rPr/>
        <w:t xml:space="preserve"> настоящих Правил, если для ее проведения требуется доступ в жилое или нежилое помещение потребителя, осуществляется исполнителем в следующем порядке:</w:t>
      </w:r>
    </w:p>
    <w:p>
      <w:pPr>
        <w:pStyle w:val="ConsPlusNormal"/>
        <w:ind w:firstLine="540"/>
        <w:jc w:val="both"/>
        <w:rPr/>
      </w:pPr>
      <w:bookmarkStart w:id="7" w:name="Par612"/>
      <w:bookmarkEnd w:id="7"/>
      <w:r>
        <w:rPr/>
        <w:t>а) исполнитель направляет потребителю способом, позволяющим определить дату получения такого сообщения, или вручает под роспись письменное извещение с предложением сообщить об удобных для потребителя дате (датах)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учета;</w:t>
      </w:r>
    </w:p>
    <w:p>
      <w:pPr>
        <w:pStyle w:val="ConsPlusNormal"/>
        <w:ind w:firstLine="540"/>
        <w:jc w:val="both"/>
        <w:rPr/>
      </w:pPr>
      <w:bookmarkStart w:id="8" w:name="Par613"/>
      <w:bookmarkEnd w:id="8"/>
      <w:r>
        <w:rPr/>
        <w:t>б) потребитель обязан в течение 7 календарных дней со дня получения указанного извещения сообщить исполнителю способом, позволяющим определить дату получения такого сообщения исполнителем, об удобных для потребителя дате (датах) и времени в течение последующих 10 календарных дней, когда потребитель может обеспечить допуск исполнителя в занимаемое им жилое или нежилое помещение для проведения проверки. Если потребитель не может обеспечить допуск исполнителя в занимаемое им жилое помещение по причине временного отсутствия, то он обязан сообщить исполнителю об иных возможных дате (датах) и времени допуска для проведения проверки;</w:t>
      </w:r>
    </w:p>
    <w:p>
      <w:pPr>
        <w:pStyle w:val="ConsPlusNormal"/>
        <w:ind w:firstLine="540"/>
        <w:jc w:val="both"/>
        <w:rPr/>
      </w:pPr>
      <w:bookmarkStart w:id="9" w:name="Par614"/>
      <w:bookmarkEnd w:id="9"/>
      <w:r>
        <w:rPr/>
        <w:t xml:space="preserve">в) при невыполнении потребителем обязанности, указанной в </w:t>
      </w:r>
      <w:hyperlink w:anchor="Par613" w:tgtFrame="Ссылка на текущий документ">
        <w:r>
          <w:rPr>
            <w:color w:val="0000FF"/>
          </w:rPr>
          <w:t>подпункте "б"</w:t>
        </w:r>
      </w:hyperlink>
      <w:r>
        <w:rPr/>
        <w:t xml:space="preserve"> настоящего пункта, исполнитель повторно направляет потребителю письменное извещение в порядке, указанном в </w:t>
      </w:r>
      <w:hyperlink w:anchor="Par612" w:tgtFrame="Ссылка на текущий документ">
        <w:r>
          <w:rPr>
            <w:color w:val="0000FF"/>
          </w:rPr>
          <w:t>подпункте "а"</w:t>
        </w:r>
      </w:hyperlink>
      <w:r>
        <w:rPr/>
        <w:t xml:space="preserve"> настоящего пункта, а потребитель обязан в течение 7 календарных дней со дня получения такого извещения сообщить исполнителю способом, позволяющим определить дату получения такого сообщения исполнителем, информацию, указанную в </w:t>
      </w:r>
      <w:hyperlink w:anchor="Par613" w:tgtFrame="Ссылка на текущий документ">
        <w:r>
          <w:rPr>
            <w:color w:val="0000FF"/>
          </w:rPr>
          <w:t>подпункте "б"</w:t>
        </w:r>
      </w:hyperlink>
      <w:r>
        <w:rPr/>
        <w:t xml:space="preserve"> настоящего пункта;</w:t>
      </w:r>
    </w:p>
    <w:p>
      <w:pPr>
        <w:pStyle w:val="ConsPlusNormal"/>
        <w:ind w:firstLine="540"/>
        <w:jc w:val="both"/>
        <w:rPr/>
      </w:pPr>
      <w:r>
        <w:rPr/>
        <w:t xml:space="preserve">г) исполнитель в согласованные с потребителем в соответствии с </w:t>
      </w:r>
      <w:hyperlink w:anchor="Par613" w:tgtFrame="Ссылка на текущий документ">
        <w:r>
          <w:rPr>
            <w:color w:val="0000FF"/>
          </w:rPr>
          <w:t>подпунктом "б"</w:t>
        </w:r>
      </w:hyperlink>
      <w:r>
        <w:rPr/>
        <w:t xml:space="preserve"> или </w:t>
      </w:r>
      <w:hyperlink w:anchor="Par614" w:tgtFrame="Ссылка на текущий документ">
        <w:r>
          <w:rPr>
            <w:color w:val="0000FF"/>
          </w:rPr>
          <w:t>"в"</w:t>
        </w:r>
      </w:hyperlink>
      <w:r>
        <w:rPr/>
        <w:t xml:space="preserve"> настоящего пункта дату и время обязан провести проверку и составить акт проверки и передать 1 экземпляр акта потребителю. Акт проверки подписывается исполнителем и потребителем, а в случае отказа потребителя от подписания акта - исполнителем и 2 незаинтересованными лицами;</w:t>
      </w:r>
    </w:p>
    <w:p>
      <w:pPr>
        <w:pStyle w:val="ConsPlusNormal"/>
        <w:ind w:firstLine="540"/>
        <w:jc w:val="both"/>
        <w:rPr/>
      </w:pPr>
      <w:bookmarkStart w:id="10" w:name="Par616"/>
      <w:bookmarkEnd w:id="10"/>
      <w:r>
        <w:rPr/>
        <w:t>д)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потребителя, проживающего в жилом помещении, у исполнителя отсутствует информация о его временном отсутствии в занимаемом жилом помещении, исполнитель составляет акт об отказе в допуске к прибору учета. Акт об отказе в допуске исполнителя к приборам учета, расположенным в жилом или в нежилом помещении потребителя, подписывается исполнителем и потребителем, а в случае отказа потребителя от подписания акта - исполнителем и 2 незаинтересованными лицами. В акте указываются дата и время прибытия исполнителя для проведения проверки, причины отказа потребителя в допуске исполнителя к приборам учета (если потребитель заявил исполнителю о таких причинах), иные сведения, свидетельствующие о действиях (бездействии) потребителя, препятствующих исполнителю в проведении проверки. Исполнитель обязан передать 1 экземпляр акта потребителю;</w:t>
      </w:r>
    </w:p>
    <w:p>
      <w:pPr>
        <w:pStyle w:val="ConsPlusNormal"/>
        <w:ind w:firstLine="540"/>
        <w:jc w:val="both"/>
        <w:rPr/>
      </w:pPr>
      <w:bookmarkStart w:id="11" w:name="Par617"/>
      <w:bookmarkEnd w:id="11"/>
      <w:r>
        <w:rPr/>
        <w:t>е) исполнитель обязан в течение 10 дней после получения от потребителя, в отношении которого оставлен акт об отказе в допуске к прибору учета, заявления о готовности допустить исполнителя в помещение для проверки провести проверку, составить акт проверки и передать 1 экземпляр акта потребителю. Акт проверки подписывается исполнителем и потребителем, а в случае отказа потребителя от подписания акта - исполнителем и 2 незаинтересованными лицами.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76a46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e6638c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76a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LibreOffice/6.4.1.2$Windows_x86 LibreOffice_project/4d224e95b98b138af42a64d84056446d09082932</Application>
  <Pages>4</Pages>
  <Words>1866</Words>
  <Characters>12314</Characters>
  <CharactersWithSpaces>14098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2016-07-19T14:55:00Z</dcterms:created>
  <dc:creator>Nirvana</dc:creator>
  <dc:description/>
  <dc:language>ru-RU</dc:language>
  <cp:lastModifiedBy>Nirvana</cp:lastModifiedBy>
  <cp:lastPrinted>2016-09-29T06:31:00Z</cp:lastPrinted>
  <dcterms:modified xsi:type="dcterms:W3CDTF">2016-09-29T08:22:00Z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